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14bis                                 R4-2504002</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Wuhan, China, 7th – 11th April,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val="0"/>
              <w:numPr>
                <w:ilvl w:val="0"/>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7"/>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discussion on the practical spatial channel modelling methodology and other analysis based on the last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pBdr>
          <w:top w:val="single" w:color="auto" w:sz="12" w:space="3"/>
        </w:pBdr>
        <w:spacing w:beforeLines="0" w:afterLines="0"/>
        <w:jc w:val="left"/>
        <w:outlineLvl w:val="9"/>
        <w:rPr>
          <w:rFonts w:hint="eastAsia"/>
          <w:b/>
          <w:kern w:val="0"/>
          <w:sz w:val="24"/>
          <w:szCs w:val="24"/>
          <w:lang w:val="en-US" w:eastAsia="zh-CN"/>
        </w:rPr>
      </w:pPr>
    </w:p>
    <w:p>
      <w:pPr>
        <w:outlineLvl w:val="9"/>
        <w:rPr>
          <w:rFonts w:hint="eastAsia"/>
          <w:b/>
          <w:bCs/>
          <w:i w:val="0"/>
          <w:iCs w:val="0"/>
          <w:lang w:val="en-US" w:eastAsia="zh-CN"/>
        </w:rPr>
      </w:pPr>
      <w:r>
        <w:rPr>
          <w:rFonts w:hint="eastAsia"/>
          <w:b/>
          <w:bCs/>
          <w:i w:val="0"/>
          <w:iCs w:val="0"/>
          <w:lang w:val="en-US" w:eastAsia="zh-CN"/>
        </w:rPr>
        <w:t>TDL and CDL Methodologies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u w:val="single"/>
                <w:lang w:eastAsia="ja-JP"/>
              </w:rPr>
            </w:pPr>
            <w:r>
              <w:rPr>
                <w:rFonts w:hint="default"/>
                <w:bCs/>
                <w:sz w:val="21"/>
                <w:szCs w:val="21"/>
                <w:lang w:eastAsia="ko-KR"/>
              </w:rPr>
              <w:t>CDL from TR 38.753 will include randomness reduction for the purpose of the SI</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CDL (TR 38.753) </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Option A1 : with Table 7.2.1-8 in TR 38.827</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A2: based on </w:t>
            </w:r>
            <w:r>
              <w:rPr>
                <w:rFonts w:hint="default"/>
                <w:sz w:val="21"/>
                <w:szCs w:val="21"/>
                <w:lang w:eastAsia="ja-JP"/>
              </w:rPr>
              <w:t>Table 7.7.1-3 in TR 38.901 without truncation</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A3 : based on </w:t>
            </w:r>
            <w:r>
              <w:rPr>
                <w:rFonts w:hint="default"/>
                <w:sz w:val="21"/>
                <w:szCs w:val="21"/>
                <w:lang w:eastAsia="ja-JP"/>
              </w:rPr>
              <w:t xml:space="preserve">Table 7.7.1-3 in TR 38.901 with truncation </w:t>
            </w:r>
            <w:r>
              <w:rPr>
                <w:rFonts w:hint="default"/>
                <w:sz w:val="21"/>
                <w:szCs w:val="21"/>
                <w:lang w:eastAsia="ja-JP"/>
              </w:rPr>
              <w:br w:type="textWrapping"/>
            </w:r>
            <w:r>
              <w:rPr>
                <w:rFonts w:hint="default"/>
                <w:bCs/>
                <w:sz w:val="21"/>
                <w:szCs w:val="21"/>
                <w:lang w:eastAsia="ko-KR"/>
              </w:rPr>
              <w:t xml:space="preserve">According to the updated </w:t>
            </w:r>
            <w:r>
              <w:rPr>
                <w:rFonts w:hint="default"/>
                <w:sz w:val="21"/>
                <w:szCs w:val="21"/>
                <w:lang w:eastAsia="ja-JP"/>
              </w:rPr>
              <w:t>truncation procedure described in Annex B, truncated table to be shared before RAN4#114-bis.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B1: TDL </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eastAsia"/>
                <w:b/>
                <w:bCs/>
                <w:i w:val="0"/>
                <w:iCs w:val="0"/>
                <w:vertAlign w:val="baseline"/>
                <w:lang w:val="en-US" w:eastAsia="zh-CN"/>
              </w:rPr>
            </w:pPr>
            <w:r>
              <w:rPr>
                <w:rFonts w:hint="default"/>
                <w:bCs/>
                <w:sz w:val="21"/>
                <w:szCs w:val="21"/>
                <w:lang w:eastAsia="ko-KR"/>
              </w:rPr>
              <w:t>Option B2: TDL</w:t>
            </w:r>
          </w:p>
        </w:tc>
      </w:tr>
    </w:tbl>
    <w:p>
      <w:pPr>
        <w:outlineLvl w:val="9"/>
        <w:rPr>
          <w:rFonts w:hint="eastAsia"/>
          <w:b/>
          <w:bCs/>
          <w:i w:val="0"/>
          <w:iCs w:val="0"/>
          <w:lang w:val="en-US" w:eastAsia="zh-CN"/>
        </w:rPr>
      </w:pPr>
    </w:p>
    <w:p>
      <w:pPr>
        <w:spacing w:before="120" w:after="120"/>
        <w:rPr>
          <w:rFonts w:hint="eastAsia"/>
          <w:lang w:val="en-US" w:eastAsia="zh-CN"/>
        </w:rPr>
      </w:pPr>
      <w:r>
        <w:rPr>
          <w:rFonts w:hint="eastAsia"/>
          <w:lang w:val="en-US" w:eastAsia="zh-CN"/>
        </w:rPr>
        <w:t>During the last meeting, RAN4 discussed how to construct the SCM channel model and some simulation cases. Regarding the construction of the SCM channel model, there are essentially three approaches, CDL channel model based on the TR 38.827, extending current TDL channel model and TX-RX beam steering approach, and the simulation scenarios predominantly revolve whether MU-MIMO test case needs to be considered and the selection of current TDL channel model.</w:t>
      </w:r>
    </w:p>
    <w:p>
      <w:pPr>
        <w:spacing w:before="120" w:after="120"/>
        <w:rPr>
          <w:rFonts w:hint="eastAsia"/>
          <w:lang w:val="en-US" w:eastAsia="zh-CN"/>
        </w:rPr>
      </w:pPr>
      <w:r>
        <w:rPr>
          <w:rFonts w:hint="eastAsia"/>
          <w:lang w:val="en-US" w:eastAsia="zh-CN"/>
        </w:rPr>
        <w:t xml:space="preserve">In the last meeting, RAN4 further discussed the CDL and enhanced TDL modeling approaches, we have three candidate options for CDL channel model and two options for TDL channel model. Compared to legacy DL approach, which captured in TR38.827 and 38.901, some companies still mentioned a truncation method based on TR 38.901. Regarding the truncation approach, the biggest advantage is that it easy to align caused by reducing the number of clusters, which is proposed by other companies. </w:t>
      </w:r>
    </w:p>
    <w:p>
      <w:pPr>
        <w:spacing w:before="120" w:after="120"/>
        <w:rPr>
          <w:rFonts w:hint="eastAsia"/>
          <w:lang w:val="en-US" w:eastAsia="zh-CN"/>
        </w:rPr>
      </w:pPr>
      <w:r>
        <w:rPr>
          <w:rFonts w:hint="eastAsia"/>
          <w:lang w:val="en-US" w:eastAsia="zh-CN"/>
        </w:rPr>
        <w:t xml:space="preserve">In general, after so many meeting and discussions, from testing perspective, without no doubt that the CDL channel is hard to align compared with TDL channel model, due to the generation procedure, AOA/AODs, too many random methods, and AAV, etc, which become difficulties that hinder the alignment results. Nevertheless, RAN4 is still working on finding a channel model that can define the requirements. For CDL channel model, RAN4 has discussed this in detail. Next, we would like to tale about the TDL based channel modeling approach. As mentioned in [1][2], two different TDL based approaches was illustrated, one is based on TX-RX beam steering channel with two spatial clusters. Another is that each beam corresponds to some taps and each beam is steering of other beams. The first approach is to extent existing two cluster TDL channel model to multi-cluster channel model, where each cluster corresponds to one TX-RX beam. The second approach implement multi beams in one TDL channel, where each beam corresponds to some taps and each beam is steering of other beams with steering matrices. In general, both methods are based on the beam steering method to generate the angle of beam, so as to achieve the required beam angle in the TDL channel model. </w:t>
      </w:r>
    </w:p>
    <w:p>
      <w:pPr>
        <w:spacing w:before="120" w:after="120"/>
        <w:rPr>
          <w:rFonts w:hint="eastAsia"/>
          <w:lang w:val="en-US" w:eastAsia="zh-CN"/>
        </w:rPr>
      </w:pPr>
      <w:r>
        <w:rPr>
          <w:rFonts w:hint="eastAsia"/>
          <w:lang w:val="en-US" w:eastAsia="zh-CN"/>
        </w:rPr>
        <w:t xml:space="preserve">Compared to CDL channel model, the TDL based approach is more easier to implement, and the angle information can be added according to the required angle during testing or simulation. Compared to TDL channel model, only beam information is considered in modeling procedure, which is also followed the same approach of beam steering to generate beams for different clusters or taps. From our understanding, we believe that the above two approaches are easy to converge and will not bring additional burden to the test, even TE vendor can also implement CDL channel model. </w:t>
      </w:r>
    </w:p>
    <w:p>
      <w:pPr>
        <w:spacing w:before="120" w:after="120"/>
        <w:rPr>
          <w:rFonts w:hint="eastAsia"/>
          <w:b/>
          <w:bCs/>
          <w:i/>
          <w:iCs/>
          <w:szCs w:val="21"/>
          <w:lang w:val="en-US" w:eastAsia="zh-CN"/>
        </w:rPr>
      </w:pPr>
      <w:r>
        <w:rPr>
          <w:rFonts w:hint="eastAsia"/>
          <w:b/>
          <w:bCs/>
          <w:i/>
          <w:iCs/>
          <w:szCs w:val="21"/>
          <w:lang w:val="en-US" w:eastAsia="zh-CN"/>
        </w:rPr>
        <w:t xml:space="preserve">Observation 1. From our point of view, we believe that the TDL based approaches are easy to converge, and will not bring additional burden to the test. </w:t>
      </w:r>
    </w:p>
    <w:p>
      <w:pPr>
        <w:spacing w:before="120" w:after="120"/>
        <w:rPr>
          <w:rFonts w:hint="default"/>
          <w:b/>
          <w:bCs/>
          <w:i/>
          <w:iCs/>
          <w:szCs w:val="21"/>
          <w:lang w:val="en-US" w:eastAsia="zh-CN"/>
        </w:rPr>
      </w:pPr>
      <w:r>
        <w:rPr>
          <w:rFonts w:hint="eastAsia"/>
          <w:b/>
          <w:bCs/>
          <w:i/>
          <w:iCs/>
          <w:szCs w:val="21"/>
          <w:lang w:val="en-US" w:eastAsia="zh-CN"/>
        </w:rPr>
        <w:t xml:space="preserve">Proposal 1. Propose to consider both CDL and TDL based approaches for spatial channel model. </w:t>
      </w:r>
    </w:p>
    <w:p>
      <w:pPr>
        <w:spacing w:before="120" w:after="120"/>
        <w:rPr>
          <w:rFonts w:hint="default"/>
          <w:lang w:val="en-US" w:eastAsia="zh-CN"/>
        </w:rPr>
      </w:pPr>
    </w:p>
    <w:p>
      <w:pPr>
        <w:outlineLvl w:val="9"/>
        <w:rPr>
          <w:b/>
          <w:bCs/>
          <w:i w:val="0"/>
          <w:iCs w:val="0"/>
          <w:szCs w:val="24"/>
          <w:lang w:eastAsia="zh-CN"/>
        </w:rPr>
      </w:pPr>
      <w:r>
        <w:rPr>
          <w:b/>
          <w:bCs/>
          <w:i w:val="0"/>
          <w:iCs w:val="0"/>
        </w:rPr>
        <w:t>PDSCH PMI Selection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b/>
                <w:bCs/>
                <w:sz w:val="18"/>
                <w:szCs w:val="18"/>
                <w:lang w:eastAsia="zh-CN"/>
              </w:rPr>
            </w:pPr>
            <w:r>
              <w:rPr>
                <w:rFonts w:hint="default"/>
                <w:b/>
                <w:bCs/>
                <w:sz w:val="18"/>
                <w:szCs w:val="18"/>
                <w:lang w:eastAsia="zh-CN"/>
              </w:rPr>
              <w:t>Way Forward:</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18"/>
                <w:szCs w:val="18"/>
                <w:lang w:eastAsia="zh-CN"/>
              </w:rPr>
            </w:pPr>
            <w:r>
              <w:rPr>
                <w:rFonts w:hint="default"/>
                <w:sz w:val="18"/>
                <w:szCs w:val="18"/>
                <w:lang w:eastAsia="zh-CN"/>
              </w:rPr>
              <w:t>Random PMI already agreed. Regarding potential fixed PMI:</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 xml:space="preserve">Option 1: Random PMI from sub-set </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 xml:space="preserve">Option 2: Collectively chosen fixed PMI </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 xml:space="preserve">Option 3: Independently chosen fixed PMI </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eastAsia"/>
                <w:szCs w:val="20"/>
                <w:vertAlign w:val="baseline"/>
                <w:lang w:val="en-US" w:eastAsia="zh-CN"/>
              </w:rPr>
            </w:pPr>
            <w:r>
              <w:rPr>
                <w:rFonts w:hint="default"/>
                <w:sz w:val="18"/>
                <w:szCs w:val="18"/>
                <w:lang w:eastAsia="zh-CN"/>
              </w:rPr>
              <w:t xml:space="preserve">Note: Companies to propose detailed method description for interested options for RAN4#114-bis.  </w:t>
            </w:r>
          </w:p>
        </w:tc>
      </w:tr>
    </w:tbl>
    <w:p>
      <w:pPr>
        <w:spacing w:before="120" w:after="120"/>
        <w:rPr>
          <w:rFonts w:hint="default"/>
          <w:lang w:val="en-US" w:eastAsia="zh-CN"/>
        </w:rPr>
      </w:pPr>
      <w:r>
        <w:rPr>
          <w:rFonts w:hint="eastAsia"/>
          <w:lang w:val="en-US" w:eastAsia="zh-CN"/>
        </w:rPr>
        <w:t>Regarding PMI selection, random PMI has already agreed as one choice, and some companies wanted to consider fixed PMI, which is based on different implementations for different companies. Its advantage is that can reflect channel changes and ensure that the selected PMI is more in line with the current channel characteristics. From the perspective of existing network, fixed PMI is more suitable. However, from the perspective of testing, fixed PMI can</w:t>
      </w:r>
      <w:r>
        <w:rPr>
          <w:rFonts w:hint="default"/>
          <w:lang w:val="en-US" w:eastAsia="zh-CN"/>
        </w:rPr>
        <w:t>’</w:t>
      </w:r>
      <w:r>
        <w:rPr>
          <w:rFonts w:hint="eastAsia"/>
          <w:lang w:val="en-US" w:eastAsia="zh-CN"/>
        </w:rPr>
        <w:t xml:space="preserve">t guarantee that all companies choose the same PMI. For this purpose, the above options have somewhat relaxed. </w:t>
      </w:r>
    </w:p>
    <w:p>
      <w:pPr>
        <w:spacing w:before="120" w:after="120"/>
        <w:rPr>
          <w:rFonts w:hint="eastAsia"/>
          <w:lang w:val="en-US" w:eastAsia="zh-CN"/>
        </w:rPr>
      </w:pPr>
      <w:r>
        <w:rPr>
          <w:rFonts w:hint="eastAsia"/>
          <w:lang w:val="en-US" w:eastAsia="zh-CN"/>
        </w:rPr>
        <w:t>For the option1, random PMI from sub-set, the most import thing is how to choose the sub-set, which is not explained in detail in the above options. From our understanding, the subset could from the fixed PMI provided by various companies or select from a codebook. Hence, we think this point needs to be clarified. Regarding option 2, collectively chosen fixed PMI, we understand that fixed PMI is more suitable for scenarios with relatively stable channel conditions. And if all companies could agree this fixed PMI to do simulation and testing, we think this choice of PMI is acceptable. For the last one, independently chosen fixed PMI, we don</w:t>
      </w:r>
      <w:r>
        <w:rPr>
          <w:rFonts w:hint="default"/>
          <w:lang w:val="en-US" w:eastAsia="zh-CN"/>
        </w:rPr>
        <w:t>’</w:t>
      </w:r>
      <w:r>
        <w:rPr>
          <w:rFonts w:hint="eastAsia"/>
          <w:lang w:val="en-US" w:eastAsia="zh-CN"/>
        </w:rPr>
        <w:t xml:space="preserve">t think this is a good approach. As we discussed before, PMI selection is based on different implementations for different companies, which is a challenge for consistency of results. </w:t>
      </w:r>
    </w:p>
    <w:p>
      <w:pPr>
        <w:spacing w:before="120" w:after="120"/>
        <w:rPr>
          <w:rFonts w:hint="default"/>
          <w:b/>
          <w:bCs/>
          <w:i/>
          <w:iCs/>
          <w:szCs w:val="21"/>
          <w:lang w:val="en-US" w:eastAsia="zh-CN"/>
        </w:rPr>
      </w:pPr>
      <w:r>
        <w:rPr>
          <w:rFonts w:hint="eastAsia"/>
          <w:b/>
          <w:bCs/>
          <w:i/>
          <w:iCs/>
          <w:szCs w:val="21"/>
          <w:lang w:val="en-US" w:eastAsia="zh-CN"/>
        </w:rPr>
        <w:t>Observation 2. The sub-set is not explained on detail in the above options, RAN4 needs to further discuss how to chose sub set.</w:t>
      </w:r>
    </w:p>
    <w:p>
      <w:pPr>
        <w:spacing w:before="120" w:after="120"/>
        <w:rPr>
          <w:rFonts w:hint="eastAsia"/>
          <w:b/>
          <w:bCs/>
          <w:i/>
          <w:iCs/>
          <w:szCs w:val="21"/>
          <w:lang w:val="en-US" w:eastAsia="zh-CN"/>
        </w:rPr>
      </w:pPr>
      <w:r>
        <w:rPr>
          <w:rFonts w:hint="eastAsia"/>
          <w:b/>
          <w:bCs/>
          <w:i/>
          <w:iCs/>
          <w:szCs w:val="21"/>
          <w:lang w:val="en-US" w:eastAsia="zh-CN"/>
        </w:rPr>
        <w:t>Proposal 2. Propose to consider creating sub set by collecting fixed PMI from interesting companies.</w:t>
      </w:r>
    </w:p>
    <w:p>
      <w:pPr>
        <w:spacing w:before="120" w:after="120"/>
        <w:rPr>
          <w:rFonts w:hint="default"/>
          <w:b/>
          <w:bCs/>
          <w:i/>
          <w:iCs/>
          <w:szCs w:val="21"/>
          <w:lang w:val="en-US" w:eastAsia="zh-CN"/>
        </w:rPr>
      </w:pPr>
    </w:p>
    <w:p>
      <w:pPr>
        <w:outlineLvl w:val="9"/>
        <w:rPr>
          <w:rFonts w:hint="eastAsia"/>
          <w:b/>
          <w:bCs/>
          <w:i w:val="0"/>
          <w:iCs w:val="0"/>
          <w:lang w:val="en-US" w:eastAsia="zh-CN"/>
        </w:rPr>
      </w:pPr>
      <w:r>
        <w:rPr>
          <w:b/>
          <w:bCs/>
          <w:i w:val="0"/>
          <w:iCs w:val="0"/>
        </w:rPr>
        <w:t>Antenna Array Virtualisation (for CDL options)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lang w:eastAsia="ja-JP"/>
              </w:rPr>
            </w:pPr>
            <w:r>
              <w:rPr>
                <w:rFonts w:hint="default"/>
                <w:b/>
                <w:bCs/>
                <w:szCs w:val="20"/>
                <w:lang w:eastAsia="ja-JP"/>
              </w:rPr>
              <w:t>Way Forward:</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eastAsia="ja-JP"/>
              </w:rPr>
            </w:pPr>
            <w:r>
              <w:rPr>
                <w:rFonts w:hint="default"/>
                <w:szCs w:val="20"/>
                <w:lang w:eastAsia="ja-JP"/>
              </w:rPr>
              <w:t>Downselection to be based upon (1. Best performance, 2. Ease of alignment, 3. Practicality)</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eastAsia="ja-JP"/>
              </w:rPr>
            </w:pPr>
            <w:r>
              <w:rPr>
                <w:rFonts w:hint="default"/>
                <w:szCs w:val="20"/>
                <w:lang w:eastAsia="ja-JP"/>
              </w:rPr>
              <w:t>Options: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1Y: with Antenna Array Virtualisation (AAV) using subarray configuration </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[(M,N,P,Ms,Ns)= (16,8,2,8,1) for SU-MIMO eTypeII, for 32 TX, for comparison only]</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xml:space="preserve">)  = (8,2,2,8,1) for 4Tx CSI-RS Ports </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xml:space="preserve">)  = (8,4,2,8,1) for 8Tx CSI-RS Ports </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 xml:space="preserve">Option 3: with AAV with the following configuration: </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bCs/>
                <w:sz w:val="21"/>
                <w:szCs w:val="21"/>
                <w:lang w:eastAsia="ko-KR"/>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(1,4,2,1,1) for 8Tx CSI-RS Ports</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eastAsia"/>
                <w:vertAlign w:val="baseline"/>
                <w:lang w:val="en-US" w:eastAsia="zh-CN"/>
              </w:rPr>
            </w:pPr>
            <w:r>
              <w:rPr>
                <w:rFonts w:hint="default"/>
                <w:bCs/>
                <w:sz w:val="21"/>
                <w:szCs w:val="21"/>
                <w:lang w:eastAsia="ko-KR"/>
              </w:rPr>
              <w:t>(M,N,P,M</w:t>
            </w:r>
            <w:r>
              <w:rPr>
                <w:rFonts w:hint="default"/>
                <w:bCs/>
                <w:sz w:val="21"/>
                <w:szCs w:val="21"/>
                <w:vertAlign w:val="subscript"/>
                <w:lang w:eastAsia="ko-KR"/>
              </w:rPr>
              <w:t>s</w:t>
            </w:r>
            <w:r>
              <w:rPr>
                <w:rFonts w:hint="default"/>
                <w:bCs/>
                <w:sz w:val="21"/>
                <w:szCs w:val="21"/>
                <w:lang w:eastAsia="ko-KR"/>
              </w:rPr>
              <w:t>,N</w:t>
            </w:r>
            <w:r>
              <w:rPr>
                <w:rFonts w:hint="default"/>
                <w:bCs/>
                <w:sz w:val="21"/>
                <w:szCs w:val="21"/>
                <w:vertAlign w:val="subscript"/>
                <w:lang w:eastAsia="ko-KR"/>
              </w:rPr>
              <w:t>s</w:t>
            </w:r>
            <w:r>
              <w:rPr>
                <w:rFonts w:hint="default"/>
                <w:bCs/>
                <w:sz w:val="21"/>
                <w:szCs w:val="21"/>
                <w:lang w:eastAsia="ko-KR"/>
              </w:rPr>
              <w:t>) = (1,2,2,1,1) for 4Tx CSI-RS Ports</w:t>
            </w:r>
          </w:p>
        </w:tc>
      </w:tr>
    </w:tbl>
    <w:p>
      <w:pPr>
        <w:spacing w:before="120" w:after="120"/>
        <w:rPr>
          <w:rFonts w:hint="eastAsia"/>
          <w:lang w:val="en-US" w:eastAsia="zh-CN"/>
        </w:rPr>
      </w:pPr>
      <w:r>
        <w:rPr>
          <w:rFonts w:hint="eastAsia"/>
          <w:lang w:val="en-US" w:eastAsia="zh-CN"/>
        </w:rPr>
        <w:t xml:space="preserve">Regarding antenna array virtualization, there still have some open issues on the above table. RAN4 may needs to consider downselection based on best performance, ease alignment, and practicality implementation. We evaluated AAV using sub array configuration and without AAV configuration. From our simulation results[5], the performance of AAV with sub array is better than without AAV configuration, since AAV can bring the gain of beamforming. At the same time, from the perspective of BS side implementation, vertical mergers are easier to implement and utilize in practical network. Therefore, from the point of performance and implementation, we would like to consider sub array configuration for 4Tx and 8Tx CSI-RS Ports. </w:t>
      </w:r>
    </w:p>
    <w:p>
      <w:pPr>
        <w:spacing w:before="120" w:after="120"/>
        <w:rPr>
          <w:rFonts w:hint="default"/>
          <w:b/>
          <w:bCs/>
          <w:i/>
          <w:iCs/>
          <w:szCs w:val="21"/>
          <w:lang w:val="en-US" w:eastAsia="zh-CN"/>
        </w:rPr>
      </w:pPr>
      <w:r>
        <w:rPr>
          <w:rFonts w:hint="eastAsia"/>
          <w:b/>
          <w:bCs/>
          <w:i/>
          <w:iCs/>
          <w:szCs w:val="21"/>
          <w:lang w:val="en-US" w:eastAsia="zh-CN"/>
        </w:rPr>
        <w:t xml:space="preserve">Observation 3. From our simulation results, the performance of AAV with sub array is better than without AAV configuration. </w:t>
      </w:r>
    </w:p>
    <w:p>
      <w:pPr>
        <w:spacing w:before="120" w:after="120"/>
        <w:rPr>
          <w:rFonts w:hint="eastAsia"/>
          <w:b/>
          <w:bCs/>
          <w:i/>
          <w:iCs/>
          <w:szCs w:val="21"/>
          <w:lang w:val="en-US" w:eastAsia="zh-CN"/>
        </w:rPr>
      </w:pPr>
      <w:r>
        <w:rPr>
          <w:rFonts w:hint="eastAsia"/>
          <w:b/>
          <w:bCs/>
          <w:i/>
          <w:iCs/>
          <w:szCs w:val="21"/>
          <w:lang w:val="en-US" w:eastAsia="zh-CN"/>
        </w:rPr>
        <w:t xml:space="preserve">Proposal 3. Propose to only consider AAV with sub array configuration for </w:t>
      </w:r>
      <w:r>
        <w:rPr>
          <w:rFonts w:hint="default"/>
          <w:b/>
          <w:bCs/>
          <w:i/>
          <w:iCs/>
          <w:szCs w:val="21"/>
          <w:lang w:val="en-US" w:eastAsia="ko-KR"/>
        </w:rPr>
        <w:t xml:space="preserve">4Tx </w:t>
      </w:r>
      <w:r>
        <w:rPr>
          <w:rFonts w:hint="eastAsia"/>
          <w:b/>
          <w:bCs/>
          <w:i/>
          <w:iCs/>
          <w:szCs w:val="21"/>
          <w:lang w:val="en-US" w:eastAsia="zh-CN"/>
        </w:rPr>
        <w:t xml:space="preserve">and 8Tx </w:t>
      </w:r>
      <w:r>
        <w:rPr>
          <w:rFonts w:hint="default"/>
          <w:b/>
          <w:bCs/>
          <w:i/>
          <w:iCs/>
          <w:szCs w:val="21"/>
          <w:lang w:val="en-US" w:eastAsia="ko-KR"/>
        </w:rPr>
        <w:t xml:space="preserve">CSI-RS Ports </w:t>
      </w:r>
      <w:r>
        <w:rPr>
          <w:rFonts w:hint="eastAsia"/>
          <w:b/>
          <w:bCs/>
          <w:i/>
          <w:iCs/>
          <w:szCs w:val="21"/>
          <w:lang w:val="en-US" w:eastAsia="zh-CN"/>
        </w:rPr>
        <w:t>.</w:t>
      </w:r>
    </w:p>
    <w:p>
      <w:pPr>
        <w:spacing w:before="120" w:after="120"/>
        <w:rPr>
          <w:rFonts w:hint="eastAsia"/>
          <w:lang w:val="en-US" w:eastAsia="zh-CN"/>
        </w:rPr>
      </w:pPr>
    </w:p>
    <w:p>
      <w:pPr>
        <w:spacing w:before="120" w:after="120"/>
        <w:rPr>
          <w:rFonts w:hint="default"/>
          <w:lang w:val="en-US" w:eastAsia="zh-CN"/>
        </w:rPr>
      </w:pPr>
    </w:p>
    <w:p>
      <w:pPr>
        <w:keepNext w:val="0"/>
        <w:keepLines w:val="0"/>
        <w:widowControl/>
        <w:suppressLineNumbers w:val="0"/>
        <w:jc w:val="left"/>
        <w:rPr>
          <w:rFonts w:hint="eastAsia"/>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 The conclusions are:</w:t>
      </w:r>
    </w:p>
    <w:p>
      <w:pPr>
        <w:widowControl w:val="0"/>
        <w:spacing w:beforeLines="100" w:afterLines="0" w:line="240" w:lineRule="auto"/>
        <w:jc w:val="both"/>
        <w:rPr>
          <w:rFonts w:hint="default"/>
          <w:b/>
          <w:bCs/>
          <w:i/>
          <w:iCs/>
          <w:szCs w:val="21"/>
          <w:lang w:val="en-US" w:eastAsia="zh-CN"/>
        </w:rPr>
      </w:pPr>
    </w:p>
    <w:p>
      <w:pPr>
        <w:spacing w:before="120" w:after="120"/>
        <w:rPr>
          <w:rFonts w:hint="eastAsia"/>
          <w:b/>
          <w:bCs/>
          <w:i/>
          <w:iCs/>
          <w:szCs w:val="21"/>
          <w:lang w:val="en-US" w:eastAsia="zh-CN"/>
        </w:rPr>
      </w:pPr>
      <w:r>
        <w:rPr>
          <w:rFonts w:hint="eastAsia"/>
          <w:b/>
          <w:bCs/>
          <w:i/>
          <w:iCs/>
          <w:szCs w:val="21"/>
          <w:lang w:val="en-US" w:eastAsia="zh-CN"/>
        </w:rPr>
        <w:t xml:space="preserve">Observation 1. From our point of view, we believe that the TDL based approaches are easy to converge, and will not bring additional burden to the test. </w:t>
      </w:r>
    </w:p>
    <w:p>
      <w:pPr>
        <w:spacing w:before="120" w:after="120"/>
        <w:rPr>
          <w:rFonts w:hint="eastAsia"/>
          <w:b/>
          <w:bCs/>
          <w:i/>
          <w:iCs/>
          <w:szCs w:val="21"/>
          <w:lang w:val="en-US" w:eastAsia="zh-CN"/>
        </w:rPr>
      </w:pPr>
      <w:r>
        <w:rPr>
          <w:rFonts w:hint="eastAsia"/>
          <w:b/>
          <w:bCs/>
          <w:i/>
          <w:iCs/>
          <w:szCs w:val="21"/>
          <w:lang w:val="en-US" w:eastAsia="zh-CN"/>
        </w:rPr>
        <w:t xml:space="preserve">Observation 3. From our simulation results, the performance of AAV with sub array is better than without AAV configuration. </w:t>
      </w:r>
    </w:p>
    <w:p>
      <w:pPr>
        <w:spacing w:before="120" w:after="120"/>
        <w:rPr>
          <w:rFonts w:hint="eastAsia"/>
          <w:b/>
          <w:bCs/>
          <w:i/>
          <w:iCs/>
          <w:szCs w:val="21"/>
          <w:lang w:val="en-US" w:eastAsia="zh-CN"/>
        </w:rPr>
      </w:pPr>
      <w:r>
        <w:rPr>
          <w:rFonts w:hint="eastAsia"/>
          <w:b/>
          <w:bCs/>
          <w:i/>
          <w:iCs/>
          <w:szCs w:val="21"/>
          <w:lang w:val="en-US" w:eastAsia="zh-CN"/>
        </w:rPr>
        <w:t>Observation 2. The sub-set is not explained on detail in the above options, RAN4 needs to further discuss how to chose sub set.</w:t>
      </w:r>
    </w:p>
    <w:p>
      <w:pPr>
        <w:spacing w:before="120" w:after="120"/>
        <w:rPr>
          <w:rFonts w:hint="eastAsia"/>
          <w:b/>
          <w:bCs/>
          <w:i/>
          <w:iCs/>
          <w:szCs w:val="21"/>
          <w:lang w:val="en-US" w:eastAsia="zh-CN"/>
        </w:rPr>
      </w:pPr>
      <w:r>
        <w:rPr>
          <w:rFonts w:hint="eastAsia"/>
          <w:b/>
          <w:bCs/>
          <w:i/>
          <w:iCs/>
          <w:szCs w:val="21"/>
          <w:lang w:val="en-US" w:eastAsia="zh-CN"/>
        </w:rPr>
        <w:t xml:space="preserve">Proposal 1. Propose to consider both CDL and TDL based approaches for spatial channel model. </w:t>
      </w:r>
    </w:p>
    <w:p>
      <w:pPr>
        <w:spacing w:before="120" w:after="120"/>
        <w:rPr>
          <w:rFonts w:hint="default"/>
          <w:b/>
          <w:bCs/>
          <w:i/>
          <w:iCs/>
          <w:szCs w:val="21"/>
          <w:lang w:val="en-US" w:eastAsia="zh-CN"/>
        </w:rPr>
      </w:pPr>
      <w:r>
        <w:rPr>
          <w:rFonts w:hint="eastAsia"/>
          <w:b/>
          <w:bCs/>
          <w:i/>
          <w:iCs/>
          <w:szCs w:val="21"/>
          <w:lang w:val="en-US" w:eastAsia="zh-CN"/>
        </w:rPr>
        <w:t>Proposal 2. Propose to consider creating sub set by collecting fixed PMI from interesting companies.</w:t>
      </w:r>
    </w:p>
    <w:p>
      <w:pPr>
        <w:spacing w:before="120" w:after="120"/>
        <w:rPr>
          <w:rFonts w:hint="eastAsia" w:eastAsia="宋体"/>
          <w:b/>
          <w:bCs/>
          <w:i/>
          <w:iCs/>
          <w:szCs w:val="21"/>
          <w:lang w:val="en-US" w:eastAsia="zh-CN"/>
        </w:rPr>
      </w:pPr>
      <w:r>
        <w:rPr>
          <w:rFonts w:hint="eastAsia"/>
          <w:b/>
          <w:bCs/>
          <w:i/>
          <w:iCs/>
          <w:szCs w:val="21"/>
          <w:lang w:val="en-US" w:eastAsia="zh-CN"/>
        </w:rPr>
        <w:t xml:space="preserve">Proposal 3. Propose to only consider AAV with sub array configuration for </w:t>
      </w:r>
      <w:r>
        <w:rPr>
          <w:rFonts w:hint="default"/>
          <w:b/>
          <w:bCs/>
          <w:i/>
          <w:iCs/>
          <w:szCs w:val="21"/>
          <w:lang w:val="en-US" w:eastAsia="ko-KR"/>
        </w:rPr>
        <w:t xml:space="preserve">4Tx </w:t>
      </w:r>
      <w:r>
        <w:rPr>
          <w:rFonts w:hint="eastAsia"/>
          <w:b/>
          <w:bCs/>
          <w:i/>
          <w:iCs/>
          <w:szCs w:val="21"/>
          <w:lang w:val="en-US" w:eastAsia="zh-CN"/>
        </w:rPr>
        <w:t xml:space="preserve">and 8Tx </w:t>
      </w:r>
      <w:r>
        <w:rPr>
          <w:rFonts w:hint="default"/>
          <w:b/>
          <w:bCs/>
          <w:i/>
          <w:iCs/>
          <w:szCs w:val="21"/>
          <w:lang w:val="en-US" w:eastAsia="ko-KR"/>
        </w:rPr>
        <w:t>CSI-RS Ports</w:t>
      </w:r>
      <w:r>
        <w:rPr>
          <w:rFonts w:hint="eastAsia"/>
          <w:b/>
          <w:bCs/>
          <w:i/>
          <w:iCs/>
          <w:szCs w:val="21"/>
          <w:lang w:val="en-US" w:eastAsia="zh-CN"/>
        </w:rPr>
        <w:t>.</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9"/>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R4-2502378, Way Forward [114][322] NR_SCM</w:t>
      </w:r>
      <w:r>
        <w:rPr>
          <w:rFonts w:hint="eastAsia" w:eastAsia="宋体" w:cstheme="minorBidi"/>
          <w:kern w:val="0"/>
          <w:sz w:val="21"/>
          <w:szCs w:val="21"/>
          <w:lang w:val="en-US" w:eastAsia="zh-CN"/>
        </w:rPr>
        <w:t>. Nokia.</w:t>
      </w:r>
    </w:p>
    <w:p>
      <w:pPr>
        <w:pStyle w:val="33"/>
        <w:numPr>
          <w:ilvl w:val="0"/>
          <w:numId w:val="9"/>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R4-2500337</w:t>
      </w:r>
      <w:r>
        <w:rPr>
          <w:rFonts w:hint="eastAsia" w:eastAsia="宋体" w:cstheme="minorBidi"/>
          <w:kern w:val="0"/>
          <w:sz w:val="21"/>
          <w:szCs w:val="21"/>
          <w:lang w:val="en-US" w:eastAsia="zh-CN"/>
        </w:rPr>
        <w:t>, TP to TR38.753: TDL approaches and related Annex. MediaTek Inc.</w:t>
      </w:r>
    </w:p>
    <w:p>
      <w:pPr>
        <w:pStyle w:val="33"/>
        <w:numPr>
          <w:ilvl w:val="0"/>
          <w:numId w:val="9"/>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R4-2501738</w:t>
      </w:r>
      <w:r>
        <w:rPr>
          <w:rFonts w:hint="eastAsia" w:eastAsia="宋体" w:cstheme="minorBidi"/>
          <w:kern w:val="0"/>
          <w:sz w:val="21"/>
          <w:szCs w:val="21"/>
          <w:lang w:val="en-US" w:eastAsia="zh-CN"/>
        </w:rPr>
        <w:t>, Discussions on spatial channel models. Huawei, HiSilicon.</w:t>
      </w:r>
    </w:p>
    <w:p>
      <w:pPr>
        <w:pStyle w:val="33"/>
        <w:numPr>
          <w:ilvl w:val="0"/>
          <w:numId w:val="9"/>
        </w:numPr>
        <w:spacing w:afterLines="0" w:line="259" w:lineRule="auto"/>
        <w:ind w:right="-22"/>
        <w:jc w:val="left"/>
        <w:rPr>
          <w:rFonts w:eastAsiaTheme="minorHAnsi" w:cstheme="minorBidi"/>
          <w:kern w:val="0"/>
          <w:sz w:val="21"/>
          <w:szCs w:val="21"/>
          <w:lang w:eastAsia="en-US"/>
        </w:rPr>
      </w:pPr>
      <w:bookmarkStart w:id="3" w:name="_GoBack"/>
      <w:bookmarkEnd w:id="3"/>
      <w:r>
        <w:rPr>
          <w:rFonts w:hint="eastAsia" w:eastAsia="宋体" w:cstheme="minorBidi"/>
          <w:kern w:val="0"/>
          <w:sz w:val="21"/>
          <w:szCs w:val="21"/>
          <w:lang w:val="en-US" w:eastAsia="zh-CN"/>
        </w:rPr>
        <w:t>R4-2504003, Simulation results on spatial channel model for demodulation performance requirements,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656D"/>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652BA"/>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5A37"/>
    <w:rsid w:val="01026E3F"/>
    <w:rsid w:val="01051321"/>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81717"/>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F12AC"/>
    <w:rsid w:val="03073BDC"/>
    <w:rsid w:val="030B0647"/>
    <w:rsid w:val="030C40C1"/>
    <w:rsid w:val="03367BC0"/>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51F96"/>
    <w:rsid w:val="038B3141"/>
    <w:rsid w:val="03A616D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85476"/>
    <w:rsid w:val="04894975"/>
    <w:rsid w:val="04AF7979"/>
    <w:rsid w:val="04B14B03"/>
    <w:rsid w:val="04BA53C1"/>
    <w:rsid w:val="04DA1A87"/>
    <w:rsid w:val="04DE2DA3"/>
    <w:rsid w:val="04EE6277"/>
    <w:rsid w:val="04F75CE9"/>
    <w:rsid w:val="04FE5827"/>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CB564A"/>
    <w:rsid w:val="05D03328"/>
    <w:rsid w:val="05E078B3"/>
    <w:rsid w:val="05E57574"/>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AB6FEC"/>
    <w:rsid w:val="06B741D9"/>
    <w:rsid w:val="06C457B6"/>
    <w:rsid w:val="06CD4A70"/>
    <w:rsid w:val="06DF4C13"/>
    <w:rsid w:val="06E7678C"/>
    <w:rsid w:val="06E801A9"/>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02E36"/>
    <w:rsid w:val="0850164B"/>
    <w:rsid w:val="08787FF0"/>
    <w:rsid w:val="0889002B"/>
    <w:rsid w:val="08A200D8"/>
    <w:rsid w:val="08A44DA6"/>
    <w:rsid w:val="08AA245A"/>
    <w:rsid w:val="08BA6E24"/>
    <w:rsid w:val="08C562FD"/>
    <w:rsid w:val="08CA2731"/>
    <w:rsid w:val="08CA27B1"/>
    <w:rsid w:val="08CE6218"/>
    <w:rsid w:val="08E56C64"/>
    <w:rsid w:val="08E916DF"/>
    <w:rsid w:val="08FC0AA5"/>
    <w:rsid w:val="08FC1F8D"/>
    <w:rsid w:val="090E0B90"/>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123E5"/>
    <w:rsid w:val="0A9B1B16"/>
    <w:rsid w:val="0A9E3D3D"/>
    <w:rsid w:val="0AA077E0"/>
    <w:rsid w:val="0ABD3DBD"/>
    <w:rsid w:val="0AC0212C"/>
    <w:rsid w:val="0AC27B0C"/>
    <w:rsid w:val="0ACB2C6F"/>
    <w:rsid w:val="0AD3155B"/>
    <w:rsid w:val="0AD542C1"/>
    <w:rsid w:val="0ADD5A20"/>
    <w:rsid w:val="0AE10FD9"/>
    <w:rsid w:val="0AF13898"/>
    <w:rsid w:val="0AFB3228"/>
    <w:rsid w:val="0AFC6C07"/>
    <w:rsid w:val="0AFE5CA1"/>
    <w:rsid w:val="0B0F025C"/>
    <w:rsid w:val="0B0F0DA6"/>
    <w:rsid w:val="0B13439A"/>
    <w:rsid w:val="0B1A6333"/>
    <w:rsid w:val="0B2713F4"/>
    <w:rsid w:val="0B285DDC"/>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2132FE"/>
    <w:rsid w:val="0D4B44A1"/>
    <w:rsid w:val="0D6047E0"/>
    <w:rsid w:val="0D6E10F4"/>
    <w:rsid w:val="0D6E2620"/>
    <w:rsid w:val="0D704E21"/>
    <w:rsid w:val="0D753731"/>
    <w:rsid w:val="0D7F48FE"/>
    <w:rsid w:val="0D826E5C"/>
    <w:rsid w:val="0D883C88"/>
    <w:rsid w:val="0D900677"/>
    <w:rsid w:val="0D966BF7"/>
    <w:rsid w:val="0DBD71A3"/>
    <w:rsid w:val="0DC01581"/>
    <w:rsid w:val="0DCC3AE8"/>
    <w:rsid w:val="0DD87842"/>
    <w:rsid w:val="0DED1772"/>
    <w:rsid w:val="0DF202E1"/>
    <w:rsid w:val="0DF53CE3"/>
    <w:rsid w:val="0E0961C5"/>
    <w:rsid w:val="0E131C69"/>
    <w:rsid w:val="0E147898"/>
    <w:rsid w:val="0E2F216B"/>
    <w:rsid w:val="0E3352C6"/>
    <w:rsid w:val="0E472E59"/>
    <w:rsid w:val="0E5433AA"/>
    <w:rsid w:val="0E6271DF"/>
    <w:rsid w:val="0E81568A"/>
    <w:rsid w:val="0E942250"/>
    <w:rsid w:val="0E963344"/>
    <w:rsid w:val="0E9E6388"/>
    <w:rsid w:val="0E9E6E00"/>
    <w:rsid w:val="0EA40C1C"/>
    <w:rsid w:val="0EB672B2"/>
    <w:rsid w:val="0ED50DDE"/>
    <w:rsid w:val="0EE41032"/>
    <w:rsid w:val="0EEC6F1D"/>
    <w:rsid w:val="0EF02F61"/>
    <w:rsid w:val="0F103291"/>
    <w:rsid w:val="0F1459C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72EC0"/>
    <w:rsid w:val="104A023B"/>
    <w:rsid w:val="10505F3B"/>
    <w:rsid w:val="10547810"/>
    <w:rsid w:val="105A6448"/>
    <w:rsid w:val="106D2686"/>
    <w:rsid w:val="107B371A"/>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F36C3"/>
    <w:rsid w:val="1210682D"/>
    <w:rsid w:val="121563D9"/>
    <w:rsid w:val="122172CE"/>
    <w:rsid w:val="1227318C"/>
    <w:rsid w:val="123A05DB"/>
    <w:rsid w:val="124240B9"/>
    <w:rsid w:val="12436A05"/>
    <w:rsid w:val="12492456"/>
    <w:rsid w:val="125A117D"/>
    <w:rsid w:val="12680E73"/>
    <w:rsid w:val="127701EE"/>
    <w:rsid w:val="127E5AA6"/>
    <w:rsid w:val="12893E38"/>
    <w:rsid w:val="128B2749"/>
    <w:rsid w:val="128D47C9"/>
    <w:rsid w:val="12972790"/>
    <w:rsid w:val="129811DB"/>
    <w:rsid w:val="129815FB"/>
    <w:rsid w:val="12A01A01"/>
    <w:rsid w:val="12AB7A32"/>
    <w:rsid w:val="12BB6535"/>
    <w:rsid w:val="12C006FB"/>
    <w:rsid w:val="12C61FDA"/>
    <w:rsid w:val="12C7312B"/>
    <w:rsid w:val="12D22971"/>
    <w:rsid w:val="12D85654"/>
    <w:rsid w:val="12EE5106"/>
    <w:rsid w:val="13024DF8"/>
    <w:rsid w:val="1307341C"/>
    <w:rsid w:val="130E3629"/>
    <w:rsid w:val="13145AE5"/>
    <w:rsid w:val="131B39DD"/>
    <w:rsid w:val="13246C2D"/>
    <w:rsid w:val="13283BA4"/>
    <w:rsid w:val="13332F77"/>
    <w:rsid w:val="13334E1C"/>
    <w:rsid w:val="13346EE4"/>
    <w:rsid w:val="13384952"/>
    <w:rsid w:val="1343221C"/>
    <w:rsid w:val="1355107F"/>
    <w:rsid w:val="135D4D2E"/>
    <w:rsid w:val="1366638D"/>
    <w:rsid w:val="13687D12"/>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0D7D73"/>
    <w:rsid w:val="14165F3C"/>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233F2"/>
    <w:rsid w:val="159F73BB"/>
    <w:rsid w:val="15A2727B"/>
    <w:rsid w:val="15B03F28"/>
    <w:rsid w:val="15DE29CF"/>
    <w:rsid w:val="15E30A80"/>
    <w:rsid w:val="15F77CD3"/>
    <w:rsid w:val="160228F0"/>
    <w:rsid w:val="1608480E"/>
    <w:rsid w:val="161C1C58"/>
    <w:rsid w:val="162F7556"/>
    <w:rsid w:val="163D2DFA"/>
    <w:rsid w:val="16413A3A"/>
    <w:rsid w:val="1644500C"/>
    <w:rsid w:val="16461A95"/>
    <w:rsid w:val="16594F06"/>
    <w:rsid w:val="1663404B"/>
    <w:rsid w:val="166F5E80"/>
    <w:rsid w:val="16766A92"/>
    <w:rsid w:val="167A52A9"/>
    <w:rsid w:val="16866882"/>
    <w:rsid w:val="168C392F"/>
    <w:rsid w:val="168F69F2"/>
    <w:rsid w:val="169C38A4"/>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C63C70"/>
    <w:rsid w:val="17E66DD8"/>
    <w:rsid w:val="17E84839"/>
    <w:rsid w:val="17EE1403"/>
    <w:rsid w:val="17EF6E95"/>
    <w:rsid w:val="17F25234"/>
    <w:rsid w:val="17FC5493"/>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A610E"/>
    <w:rsid w:val="18CD7A02"/>
    <w:rsid w:val="19001FFC"/>
    <w:rsid w:val="190E2B4A"/>
    <w:rsid w:val="19256D7A"/>
    <w:rsid w:val="19322C83"/>
    <w:rsid w:val="193275C2"/>
    <w:rsid w:val="19394FD2"/>
    <w:rsid w:val="19413FB3"/>
    <w:rsid w:val="195D166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8A3E9A"/>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A706E2"/>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33B43"/>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456C35"/>
    <w:rsid w:val="1E591C14"/>
    <w:rsid w:val="1E595CAF"/>
    <w:rsid w:val="1E6607F9"/>
    <w:rsid w:val="1E805396"/>
    <w:rsid w:val="1E884F62"/>
    <w:rsid w:val="1E9601BD"/>
    <w:rsid w:val="1E9D6342"/>
    <w:rsid w:val="1E9D6D15"/>
    <w:rsid w:val="1EA77730"/>
    <w:rsid w:val="1EB47F33"/>
    <w:rsid w:val="1EC36E9D"/>
    <w:rsid w:val="1EDE4CB0"/>
    <w:rsid w:val="1EE25FDD"/>
    <w:rsid w:val="1EE77403"/>
    <w:rsid w:val="1EF5103F"/>
    <w:rsid w:val="1EF92838"/>
    <w:rsid w:val="1F090F9B"/>
    <w:rsid w:val="1F0E5D6B"/>
    <w:rsid w:val="1F4B1A5F"/>
    <w:rsid w:val="1F4F2219"/>
    <w:rsid w:val="1F721405"/>
    <w:rsid w:val="1F935819"/>
    <w:rsid w:val="1FA6556D"/>
    <w:rsid w:val="1FAF2571"/>
    <w:rsid w:val="1FC55EDA"/>
    <w:rsid w:val="1FCE593C"/>
    <w:rsid w:val="1FE312AC"/>
    <w:rsid w:val="1FEC5915"/>
    <w:rsid w:val="1FED32EF"/>
    <w:rsid w:val="200631D6"/>
    <w:rsid w:val="20167AC3"/>
    <w:rsid w:val="20412383"/>
    <w:rsid w:val="20446081"/>
    <w:rsid w:val="204852AD"/>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0FC2B2A"/>
    <w:rsid w:val="21050673"/>
    <w:rsid w:val="210548E9"/>
    <w:rsid w:val="210C5DFB"/>
    <w:rsid w:val="21124D15"/>
    <w:rsid w:val="211E4363"/>
    <w:rsid w:val="213E7119"/>
    <w:rsid w:val="21683188"/>
    <w:rsid w:val="21810744"/>
    <w:rsid w:val="218A484F"/>
    <w:rsid w:val="218D6EF5"/>
    <w:rsid w:val="2195668B"/>
    <w:rsid w:val="21A130EA"/>
    <w:rsid w:val="21AD1197"/>
    <w:rsid w:val="21B05D50"/>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366C4"/>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593C8E"/>
    <w:rsid w:val="236D428C"/>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B30BF"/>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331A"/>
    <w:rsid w:val="25134332"/>
    <w:rsid w:val="25141A5B"/>
    <w:rsid w:val="2521546A"/>
    <w:rsid w:val="25276E09"/>
    <w:rsid w:val="252B49E0"/>
    <w:rsid w:val="25734B61"/>
    <w:rsid w:val="2575555D"/>
    <w:rsid w:val="257851FD"/>
    <w:rsid w:val="258F6BC4"/>
    <w:rsid w:val="25975923"/>
    <w:rsid w:val="259A3D0A"/>
    <w:rsid w:val="259C29DF"/>
    <w:rsid w:val="25A612D4"/>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AD42DA"/>
    <w:rsid w:val="26C472EC"/>
    <w:rsid w:val="26EC491A"/>
    <w:rsid w:val="26ED73E1"/>
    <w:rsid w:val="26EF38F6"/>
    <w:rsid w:val="26F201AF"/>
    <w:rsid w:val="26F32A72"/>
    <w:rsid w:val="27047832"/>
    <w:rsid w:val="27204B5D"/>
    <w:rsid w:val="272F31A0"/>
    <w:rsid w:val="27342901"/>
    <w:rsid w:val="273D2762"/>
    <w:rsid w:val="27470B72"/>
    <w:rsid w:val="27506C46"/>
    <w:rsid w:val="27525E32"/>
    <w:rsid w:val="27722E60"/>
    <w:rsid w:val="2778582E"/>
    <w:rsid w:val="27806765"/>
    <w:rsid w:val="279B1E53"/>
    <w:rsid w:val="27AB7429"/>
    <w:rsid w:val="27C57B2B"/>
    <w:rsid w:val="27C704E4"/>
    <w:rsid w:val="27C73562"/>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2147A"/>
    <w:rsid w:val="28C96C14"/>
    <w:rsid w:val="28CE083F"/>
    <w:rsid w:val="28D53334"/>
    <w:rsid w:val="28E138E3"/>
    <w:rsid w:val="28E74216"/>
    <w:rsid w:val="28E87EE4"/>
    <w:rsid w:val="2903396A"/>
    <w:rsid w:val="29207566"/>
    <w:rsid w:val="29235EFC"/>
    <w:rsid w:val="292918ED"/>
    <w:rsid w:val="294E766A"/>
    <w:rsid w:val="2978319A"/>
    <w:rsid w:val="2978571B"/>
    <w:rsid w:val="298C5FF3"/>
    <w:rsid w:val="299752B2"/>
    <w:rsid w:val="2998751F"/>
    <w:rsid w:val="29A3014B"/>
    <w:rsid w:val="29A74CBD"/>
    <w:rsid w:val="29AE4BB2"/>
    <w:rsid w:val="29B01C34"/>
    <w:rsid w:val="29B16357"/>
    <w:rsid w:val="29BA0D88"/>
    <w:rsid w:val="29CF32B2"/>
    <w:rsid w:val="29DE15A2"/>
    <w:rsid w:val="29E61950"/>
    <w:rsid w:val="29EF3680"/>
    <w:rsid w:val="29EF424E"/>
    <w:rsid w:val="29F62E74"/>
    <w:rsid w:val="29F93F5E"/>
    <w:rsid w:val="29FA7F26"/>
    <w:rsid w:val="2A0C61D3"/>
    <w:rsid w:val="2A0C677E"/>
    <w:rsid w:val="2A303B9E"/>
    <w:rsid w:val="2A35650F"/>
    <w:rsid w:val="2A376119"/>
    <w:rsid w:val="2A405845"/>
    <w:rsid w:val="2A4D593F"/>
    <w:rsid w:val="2A5053C0"/>
    <w:rsid w:val="2A6E31F8"/>
    <w:rsid w:val="2A8A1A57"/>
    <w:rsid w:val="2A8A2F9C"/>
    <w:rsid w:val="2AAC5A06"/>
    <w:rsid w:val="2AB2134B"/>
    <w:rsid w:val="2ABB3D6F"/>
    <w:rsid w:val="2AC70B30"/>
    <w:rsid w:val="2ACC2AAF"/>
    <w:rsid w:val="2AD74744"/>
    <w:rsid w:val="2AD91AC2"/>
    <w:rsid w:val="2AE14A09"/>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51BBE"/>
    <w:rsid w:val="2BAC519E"/>
    <w:rsid w:val="2BB960F0"/>
    <w:rsid w:val="2BC40957"/>
    <w:rsid w:val="2BC95FD3"/>
    <w:rsid w:val="2BCB5DAA"/>
    <w:rsid w:val="2BD40774"/>
    <w:rsid w:val="2BED0107"/>
    <w:rsid w:val="2BEE2474"/>
    <w:rsid w:val="2BF369B9"/>
    <w:rsid w:val="2BFC0A4A"/>
    <w:rsid w:val="2C072379"/>
    <w:rsid w:val="2C094904"/>
    <w:rsid w:val="2C0E55A1"/>
    <w:rsid w:val="2C1F0792"/>
    <w:rsid w:val="2C3658B0"/>
    <w:rsid w:val="2C3A7BF6"/>
    <w:rsid w:val="2C425BCE"/>
    <w:rsid w:val="2C44676A"/>
    <w:rsid w:val="2C4A080C"/>
    <w:rsid w:val="2C54533B"/>
    <w:rsid w:val="2C591378"/>
    <w:rsid w:val="2C5A7CA6"/>
    <w:rsid w:val="2C6027D7"/>
    <w:rsid w:val="2C8F4862"/>
    <w:rsid w:val="2C9E5AC8"/>
    <w:rsid w:val="2CA24294"/>
    <w:rsid w:val="2CA2721B"/>
    <w:rsid w:val="2CAD1495"/>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91A7E"/>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05A35"/>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EC3129"/>
    <w:rsid w:val="2FF87390"/>
    <w:rsid w:val="2FF93066"/>
    <w:rsid w:val="2FFD00A2"/>
    <w:rsid w:val="301103CD"/>
    <w:rsid w:val="301A71CE"/>
    <w:rsid w:val="301E049B"/>
    <w:rsid w:val="30206575"/>
    <w:rsid w:val="302A4BE6"/>
    <w:rsid w:val="30307691"/>
    <w:rsid w:val="30354EFA"/>
    <w:rsid w:val="304478EC"/>
    <w:rsid w:val="304A314A"/>
    <w:rsid w:val="30555D5A"/>
    <w:rsid w:val="3062663F"/>
    <w:rsid w:val="30836D4E"/>
    <w:rsid w:val="30916BB1"/>
    <w:rsid w:val="30962F3E"/>
    <w:rsid w:val="30AA2585"/>
    <w:rsid w:val="30AD7725"/>
    <w:rsid w:val="30C16A19"/>
    <w:rsid w:val="30D32236"/>
    <w:rsid w:val="30DB7BC5"/>
    <w:rsid w:val="30E05322"/>
    <w:rsid w:val="30FA7530"/>
    <w:rsid w:val="30FE0648"/>
    <w:rsid w:val="30FF2795"/>
    <w:rsid w:val="310375CD"/>
    <w:rsid w:val="311611B3"/>
    <w:rsid w:val="313C313D"/>
    <w:rsid w:val="314E236F"/>
    <w:rsid w:val="315E0B07"/>
    <w:rsid w:val="31621F46"/>
    <w:rsid w:val="316E7AA7"/>
    <w:rsid w:val="316E7CA0"/>
    <w:rsid w:val="316F4996"/>
    <w:rsid w:val="317206BF"/>
    <w:rsid w:val="317932EA"/>
    <w:rsid w:val="317E5000"/>
    <w:rsid w:val="318973D4"/>
    <w:rsid w:val="319D7376"/>
    <w:rsid w:val="31B549D4"/>
    <w:rsid w:val="31B718F2"/>
    <w:rsid w:val="31B77C30"/>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9B2BE5"/>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74B99"/>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81014"/>
    <w:rsid w:val="357E4B0A"/>
    <w:rsid w:val="35866D7F"/>
    <w:rsid w:val="358F6BDF"/>
    <w:rsid w:val="359336F3"/>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A1AF2"/>
    <w:rsid w:val="369F633B"/>
    <w:rsid w:val="36A30FDB"/>
    <w:rsid w:val="36A7007C"/>
    <w:rsid w:val="36B24AE8"/>
    <w:rsid w:val="36BD0DC4"/>
    <w:rsid w:val="36C957FD"/>
    <w:rsid w:val="36D25824"/>
    <w:rsid w:val="36D51D00"/>
    <w:rsid w:val="36D66B5E"/>
    <w:rsid w:val="36E93760"/>
    <w:rsid w:val="36F30C44"/>
    <w:rsid w:val="36FB4305"/>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F0CAF"/>
    <w:rsid w:val="37BB1155"/>
    <w:rsid w:val="37C94031"/>
    <w:rsid w:val="37CA042E"/>
    <w:rsid w:val="37D44549"/>
    <w:rsid w:val="37D77B09"/>
    <w:rsid w:val="37D97EDE"/>
    <w:rsid w:val="380D7E8A"/>
    <w:rsid w:val="381E32CF"/>
    <w:rsid w:val="382B1BDF"/>
    <w:rsid w:val="382E392C"/>
    <w:rsid w:val="382F042D"/>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9F3CD5"/>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9A6FBB"/>
    <w:rsid w:val="3AAB546E"/>
    <w:rsid w:val="3AC048A2"/>
    <w:rsid w:val="3AC17E3A"/>
    <w:rsid w:val="3ACA453D"/>
    <w:rsid w:val="3ACB5746"/>
    <w:rsid w:val="3ACF067B"/>
    <w:rsid w:val="3AD74A60"/>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87EBF"/>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667E2"/>
    <w:rsid w:val="3E1D023C"/>
    <w:rsid w:val="3E1D4B24"/>
    <w:rsid w:val="3E27728E"/>
    <w:rsid w:val="3E3A04FA"/>
    <w:rsid w:val="3E3D6B96"/>
    <w:rsid w:val="3E441C7D"/>
    <w:rsid w:val="3E490256"/>
    <w:rsid w:val="3E55739E"/>
    <w:rsid w:val="3E5C0A57"/>
    <w:rsid w:val="3E6C43C8"/>
    <w:rsid w:val="3E8227F0"/>
    <w:rsid w:val="3E9B4B40"/>
    <w:rsid w:val="3EB71AC8"/>
    <w:rsid w:val="3EBA0023"/>
    <w:rsid w:val="3EBC1199"/>
    <w:rsid w:val="3EC33E74"/>
    <w:rsid w:val="3EC85E34"/>
    <w:rsid w:val="3ED0424C"/>
    <w:rsid w:val="3ED57754"/>
    <w:rsid w:val="3ED824B1"/>
    <w:rsid w:val="3EF104F0"/>
    <w:rsid w:val="3EF31E7F"/>
    <w:rsid w:val="3EF36DF0"/>
    <w:rsid w:val="3F053EF6"/>
    <w:rsid w:val="3F093188"/>
    <w:rsid w:val="3F173F6B"/>
    <w:rsid w:val="3F1E1DE8"/>
    <w:rsid w:val="3F2519D4"/>
    <w:rsid w:val="3F253B0C"/>
    <w:rsid w:val="3F2C04C4"/>
    <w:rsid w:val="3F3E7C9F"/>
    <w:rsid w:val="3F416B99"/>
    <w:rsid w:val="3F4267ED"/>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7C1744"/>
    <w:rsid w:val="419D5A0D"/>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3C0BDE"/>
    <w:rsid w:val="424B5824"/>
    <w:rsid w:val="426973AD"/>
    <w:rsid w:val="42757194"/>
    <w:rsid w:val="427A67A1"/>
    <w:rsid w:val="427E0B36"/>
    <w:rsid w:val="42800034"/>
    <w:rsid w:val="42874976"/>
    <w:rsid w:val="42991508"/>
    <w:rsid w:val="429D6E4B"/>
    <w:rsid w:val="42A03D98"/>
    <w:rsid w:val="42B51497"/>
    <w:rsid w:val="42B94BC1"/>
    <w:rsid w:val="42C30254"/>
    <w:rsid w:val="42C42A08"/>
    <w:rsid w:val="42D064B1"/>
    <w:rsid w:val="42DE48A3"/>
    <w:rsid w:val="42E16058"/>
    <w:rsid w:val="42E42CCB"/>
    <w:rsid w:val="42F17BF5"/>
    <w:rsid w:val="42F87EC9"/>
    <w:rsid w:val="42FA45BF"/>
    <w:rsid w:val="430E7E66"/>
    <w:rsid w:val="43106B2D"/>
    <w:rsid w:val="4332317A"/>
    <w:rsid w:val="433F6B54"/>
    <w:rsid w:val="4346543A"/>
    <w:rsid w:val="43494007"/>
    <w:rsid w:val="435B1259"/>
    <w:rsid w:val="43616BCC"/>
    <w:rsid w:val="436263D5"/>
    <w:rsid w:val="437556C4"/>
    <w:rsid w:val="4387362C"/>
    <w:rsid w:val="43874CD4"/>
    <w:rsid w:val="438E0FEA"/>
    <w:rsid w:val="439D51EA"/>
    <w:rsid w:val="43AF2D32"/>
    <w:rsid w:val="43B1534E"/>
    <w:rsid w:val="43B17048"/>
    <w:rsid w:val="43B76E4F"/>
    <w:rsid w:val="43B809EC"/>
    <w:rsid w:val="43CF0206"/>
    <w:rsid w:val="43D85D6D"/>
    <w:rsid w:val="43E87076"/>
    <w:rsid w:val="43EC6F1F"/>
    <w:rsid w:val="43FE44BA"/>
    <w:rsid w:val="440D5045"/>
    <w:rsid w:val="44300615"/>
    <w:rsid w:val="44371929"/>
    <w:rsid w:val="443740AF"/>
    <w:rsid w:val="44480935"/>
    <w:rsid w:val="444851FA"/>
    <w:rsid w:val="445D0E03"/>
    <w:rsid w:val="445E4DEE"/>
    <w:rsid w:val="44603082"/>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36C54"/>
    <w:rsid w:val="469448C6"/>
    <w:rsid w:val="46A232B5"/>
    <w:rsid w:val="46A45391"/>
    <w:rsid w:val="46A80465"/>
    <w:rsid w:val="46B80AF8"/>
    <w:rsid w:val="46D37F0B"/>
    <w:rsid w:val="46D71533"/>
    <w:rsid w:val="46E53335"/>
    <w:rsid w:val="47040E98"/>
    <w:rsid w:val="47116C0B"/>
    <w:rsid w:val="47155D89"/>
    <w:rsid w:val="47173D82"/>
    <w:rsid w:val="47253C54"/>
    <w:rsid w:val="473069AF"/>
    <w:rsid w:val="473F5E74"/>
    <w:rsid w:val="474A0EAF"/>
    <w:rsid w:val="474E50BE"/>
    <w:rsid w:val="47696F9C"/>
    <w:rsid w:val="47725A17"/>
    <w:rsid w:val="477D3243"/>
    <w:rsid w:val="478821A1"/>
    <w:rsid w:val="479128A9"/>
    <w:rsid w:val="47975EDC"/>
    <w:rsid w:val="47983B19"/>
    <w:rsid w:val="47A3609D"/>
    <w:rsid w:val="47BA22EE"/>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83E39"/>
    <w:rsid w:val="48AB67D3"/>
    <w:rsid w:val="48B116EA"/>
    <w:rsid w:val="48B74C7A"/>
    <w:rsid w:val="48BE32BF"/>
    <w:rsid w:val="48C354EC"/>
    <w:rsid w:val="48CB2583"/>
    <w:rsid w:val="48D429DD"/>
    <w:rsid w:val="48E01C77"/>
    <w:rsid w:val="48E22285"/>
    <w:rsid w:val="48E50D90"/>
    <w:rsid w:val="48F1583A"/>
    <w:rsid w:val="48FA15CC"/>
    <w:rsid w:val="49002A7B"/>
    <w:rsid w:val="490739B5"/>
    <w:rsid w:val="491B63DF"/>
    <w:rsid w:val="491D63E9"/>
    <w:rsid w:val="492A068A"/>
    <w:rsid w:val="4932285C"/>
    <w:rsid w:val="493E2F78"/>
    <w:rsid w:val="4943019B"/>
    <w:rsid w:val="4948613B"/>
    <w:rsid w:val="495217DF"/>
    <w:rsid w:val="4958367A"/>
    <w:rsid w:val="496E52F3"/>
    <w:rsid w:val="49713D54"/>
    <w:rsid w:val="4977360C"/>
    <w:rsid w:val="49814AF9"/>
    <w:rsid w:val="49834A5B"/>
    <w:rsid w:val="498A16CD"/>
    <w:rsid w:val="498D0A91"/>
    <w:rsid w:val="49A33C27"/>
    <w:rsid w:val="49A750B5"/>
    <w:rsid w:val="49B27E76"/>
    <w:rsid w:val="49BE07DA"/>
    <w:rsid w:val="49C84AA0"/>
    <w:rsid w:val="49D7694D"/>
    <w:rsid w:val="4A0244D3"/>
    <w:rsid w:val="4A1B4E39"/>
    <w:rsid w:val="4A255046"/>
    <w:rsid w:val="4A28799C"/>
    <w:rsid w:val="4A2E1525"/>
    <w:rsid w:val="4A2E4DBF"/>
    <w:rsid w:val="4A5A756D"/>
    <w:rsid w:val="4A6174B0"/>
    <w:rsid w:val="4A785772"/>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93E37"/>
    <w:rsid w:val="4BCE7302"/>
    <w:rsid w:val="4BD0339A"/>
    <w:rsid w:val="4BE90D9B"/>
    <w:rsid w:val="4BEE0FB2"/>
    <w:rsid w:val="4BF32495"/>
    <w:rsid w:val="4BFA3FA2"/>
    <w:rsid w:val="4C2A4544"/>
    <w:rsid w:val="4C2B4DDD"/>
    <w:rsid w:val="4C30680E"/>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CF55099"/>
    <w:rsid w:val="4D43301D"/>
    <w:rsid w:val="4D462159"/>
    <w:rsid w:val="4D566017"/>
    <w:rsid w:val="4D7D3EFB"/>
    <w:rsid w:val="4D83687D"/>
    <w:rsid w:val="4D8B0123"/>
    <w:rsid w:val="4DAF14C5"/>
    <w:rsid w:val="4DB112F5"/>
    <w:rsid w:val="4DB9067A"/>
    <w:rsid w:val="4DC1731C"/>
    <w:rsid w:val="4DC605B6"/>
    <w:rsid w:val="4DD129F2"/>
    <w:rsid w:val="4DD732D2"/>
    <w:rsid w:val="4DDD4847"/>
    <w:rsid w:val="4DEC0985"/>
    <w:rsid w:val="4E015422"/>
    <w:rsid w:val="4E0538A3"/>
    <w:rsid w:val="4E0B2BF7"/>
    <w:rsid w:val="4E0E6818"/>
    <w:rsid w:val="4E0F3A4E"/>
    <w:rsid w:val="4E27683A"/>
    <w:rsid w:val="4E4179D4"/>
    <w:rsid w:val="4E4C50A3"/>
    <w:rsid w:val="4E510698"/>
    <w:rsid w:val="4E576363"/>
    <w:rsid w:val="4E635567"/>
    <w:rsid w:val="4E742982"/>
    <w:rsid w:val="4E9C0636"/>
    <w:rsid w:val="4EA30DB6"/>
    <w:rsid w:val="4EA7341F"/>
    <w:rsid w:val="4EC50C90"/>
    <w:rsid w:val="4EDB58B2"/>
    <w:rsid w:val="4EE925CE"/>
    <w:rsid w:val="4EEF2E30"/>
    <w:rsid w:val="4EF07A0E"/>
    <w:rsid w:val="4EF24828"/>
    <w:rsid w:val="4EFE7F59"/>
    <w:rsid w:val="4F171C50"/>
    <w:rsid w:val="4F285975"/>
    <w:rsid w:val="4F2A7BF3"/>
    <w:rsid w:val="4F2E2624"/>
    <w:rsid w:val="4F431C53"/>
    <w:rsid w:val="4F4A2FB1"/>
    <w:rsid w:val="4F4B49E4"/>
    <w:rsid w:val="4F4E1077"/>
    <w:rsid w:val="4F546156"/>
    <w:rsid w:val="4F5670C4"/>
    <w:rsid w:val="4F844A99"/>
    <w:rsid w:val="4F94662C"/>
    <w:rsid w:val="4FA20822"/>
    <w:rsid w:val="4FAC5950"/>
    <w:rsid w:val="4FB00163"/>
    <w:rsid w:val="4FB07878"/>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1D7A"/>
    <w:rsid w:val="50F83FF3"/>
    <w:rsid w:val="50F8688B"/>
    <w:rsid w:val="50FC4E36"/>
    <w:rsid w:val="5105169B"/>
    <w:rsid w:val="51062881"/>
    <w:rsid w:val="510861B3"/>
    <w:rsid w:val="510956BD"/>
    <w:rsid w:val="511D32CD"/>
    <w:rsid w:val="51230220"/>
    <w:rsid w:val="51361FFF"/>
    <w:rsid w:val="51410DB2"/>
    <w:rsid w:val="51471753"/>
    <w:rsid w:val="514B10D2"/>
    <w:rsid w:val="514B3016"/>
    <w:rsid w:val="514E4912"/>
    <w:rsid w:val="515400FF"/>
    <w:rsid w:val="515D735D"/>
    <w:rsid w:val="51663E0F"/>
    <w:rsid w:val="51777F52"/>
    <w:rsid w:val="51781A83"/>
    <w:rsid w:val="518255EB"/>
    <w:rsid w:val="51860A04"/>
    <w:rsid w:val="51867298"/>
    <w:rsid w:val="51894D69"/>
    <w:rsid w:val="518D21E1"/>
    <w:rsid w:val="51930297"/>
    <w:rsid w:val="51953936"/>
    <w:rsid w:val="51961036"/>
    <w:rsid w:val="519E116A"/>
    <w:rsid w:val="51A2607D"/>
    <w:rsid w:val="51A26D29"/>
    <w:rsid w:val="51A2793A"/>
    <w:rsid w:val="51A31BD2"/>
    <w:rsid w:val="51BA0CB7"/>
    <w:rsid w:val="51BA1C28"/>
    <w:rsid w:val="51C11DBA"/>
    <w:rsid w:val="51C93676"/>
    <w:rsid w:val="51D129CA"/>
    <w:rsid w:val="51D93F8A"/>
    <w:rsid w:val="51E5046A"/>
    <w:rsid w:val="520A47A8"/>
    <w:rsid w:val="52272B85"/>
    <w:rsid w:val="523E09B5"/>
    <w:rsid w:val="525770DA"/>
    <w:rsid w:val="525A1C6E"/>
    <w:rsid w:val="525E17DE"/>
    <w:rsid w:val="5268306B"/>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F77EA"/>
    <w:rsid w:val="533933AA"/>
    <w:rsid w:val="533B7F54"/>
    <w:rsid w:val="53432800"/>
    <w:rsid w:val="535009E1"/>
    <w:rsid w:val="53650168"/>
    <w:rsid w:val="536C2A29"/>
    <w:rsid w:val="537C0B2B"/>
    <w:rsid w:val="538859E4"/>
    <w:rsid w:val="53A20FFA"/>
    <w:rsid w:val="53A233E4"/>
    <w:rsid w:val="53A94C48"/>
    <w:rsid w:val="53AA7BC7"/>
    <w:rsid w:val="53AE5EA5"/>
    <w:rsid w:val="53B00B1F"/>
    <w:rsid w:val="53B2409D"/>
    <w:rsid w:val="53C615F9"/>
    <w:rsid w:val="53D6247A"/>
    <w:rsid w:val="53DB3477"/>
    <w:rsid w:val="53E77CBF"/>
    <w:rsid w:val="53E81B59"/>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CD0080"/>
    <w:rsid w:val="55D02A22"/>
    <w:rsid w:val="55D40743"/>
    <w:rsid w:val="55DD6F2A"/>
    <w:rsid w:val="55E8339E"/>
    <w:rsid w:val="55F06771"/>
    <w:rsid w:val="560B1622"/>
    <w:rsid w:val="56106284"/>
    <w:rsid w:val="562C1706"/>
    <w:rsid w:val="5632642A"/>
    <w:rsid w:val="56375B61"/>
    <w:rsid w:val="564944F4"/>
    <w:rsid w:val="564E5820"/>
    <w:rsid w:val="565E6D49"/>
    <w:rsid w:val="56630C00"/>
    <w:rsid w:val="566D36D8"/>
    <w:rsid w:val="567739D2"/>
    <w:rsid w:val="5686536D"/>
    <w:rsid w:val="568B1DB1"/>
    <w:rsid w:val="56965D1F"/>
    <w:rsid w:val="569D619C"/>
    <w:rsid w:val="56A55214"/>
    <w:rsid w:val="56A67978"/>
    <w:rsid w:val="56AC63C5"/>
    <w:rsid w:val="56B61F71"/>
    <w:rsid w:val="56C1700B"/>
    <w:rsid w:val="56D25618"/>
    <w:rsid w:val="56E84A97"/>
    <w:rsid w:val="56FC6DB4"/>
    <w:rsid w:val="57003E35"/>
    <w:rsid w:val="57011F3E"/>
    <w:rsid w:val="5705646B"/>
    <w:rsid w:val="57060649"/>
    <w:rsid w:val="57124975"/>
    <w:rsid w:val="57154E66"/>
    <w:rsid w:val="57197E55"/>
    <w:rsid w:val="5732705F"/>
    <w:rsid w:val="57351D6F"/>
    <w:rsid w:val="57482A8C"/>
    <w:rsid w:val="57556ACC"/>
    <w:rsid w:val="576476C1"/>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81DB6"/>
    <w:rsid w:val="590317F0"/>
    <w:rsid w:val="59075000"/>
    <w:rsid w:val="59200EBC"/>
    <w:rsid w:val="593559FD"/>
    <w:rsid w:val="594079B2"/>
    <w:rsid w:val="594A13D7"/>
    <w:rsid w:val="595346FA"/>
    <w:rsid w:val="597A1B5D"/>
    <w:rsid w:val="5987482A"/>
    <w:rsid w:val="599C49A8"/>
    <w:rsid w:val="59A36725"/>
    <w:rsid w:val="59B14E01"/>
    <w:rsid w:val="59B21BF9"/>
    <w:rsid w:val="59B25935"/>
    <w:rsid w:val="59BB4EA3"/>
    <w:rsid w:val="59E9525B"/>
    <w:rsid w:val="59F05737"/>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77833"/>
    <w:rsid w:val="5AD86A6D"/>
    <w:rsid w:val="5AEC14F6"/>
    <w:rsid w:val="5AEC4B1F"/>
    <w:rsid w:val="5AF124A4"/>
    <w:rsid w:val="5B141085"/>
    <w:rsid w:val="5B1C5F4C"/>
    <w:rsid w:val="5B28192B"/>
    <w:rsid w:val="5B2E7D32"/>
    <w:rsid w:val="5B5F300B"/>
    <w:rsid w:val="5B66707B"/>
    <w:rsid w:val="5B673066"/>
    <w:rsid w:val="5B785E83"/>
    <w:rsid w:val="5B7C1CD1"/>
    <w:rsid w:val="5B82056F"/>
    <w:rsid w:val="5B8E0DA3"/>
    <w:rsid w:val="5B9251EF"/>
    <w:rsid w:val="5BAB5BC4"/>
    <w:rsid w:val="5BB20B74"/>
    <w:rsid w:val="5BB423DA"/>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85E20"/>
    <w:rsid w:val="5E0B0848"/>
    <w:rsid w:val="5E1B0F12"/>
    <w:rsid w:val="5E1D4A67"/>
    <w:rsid w:val="5E2269A6"/>
    <w:rsid w:val="5E237029"/>
    <w:rsid w:val="5E2E6F9A"/>
    <w:rsid w:val="5E3A3BD1"/>
    <w:rsid w:val="5E4615D7"/>
    <w:rsid w:val="5E4D60D8"/>
    <w:rsid w:val="5E5203B8"/>
    <w:rsid w:val="5E627FC7"/>
    <w:rsid w:val="5E671C7B"/>
    <w:rsid w:val="5E6A5399"/>
    <w:rsid w:val="5E71373F"/>
    <w:rsid w:val="5E717191"/>
    <w:rsid w:val="5E795832"/>
    <w:rsid w:val="5E830708"/>
    <w:rsid w:val="5E831398"/>
    <w:rsid w:val="5E85633A"/>
    <w:rsid w:val="5E921A45"/>
    <w:rsid w:val="5E9645E1"/>
    <w:rsid w:val="5E975993"/>
    <w:rsid w:val="5EB51FDE"/>
    <w:rsid w:val="5EBA4472"/>
    <w:rsid w:val="5ECA3D37"/>
    <w:rsid w:val="5EDA2298"/>
    <w:rsid w:val="5EDA262D"/>
    <w:rsid w:val="5EE153F8"/>
    <w:rsid w:val="5EED7893"/>
    <w:rsid w:val="5F0A3A61"/>
    <w:rsid w:val="5F0F6FF4"/>
    <w:rsid w:val="5F392547"/>
    <w:rsid w:val="5F4F1B95"/>
    <w:rsid w:val="5F56499A"/>
    <w:rsid w:val="5F683B6E"/>
    <w:rsid w:val="5F875C0C"/>
    <w:rsid w:val="5F8F0B9E"/>
    <w:rsid w:val="5F8F267A"/>
    <w:rsid w:val="5FB94C48"/>
    <w:rsid w:val="5FDC55D3"/>
    <w:rsid w:val="5FEA3339"/>
    <w:rsid w:val="5FEC60B6"/>
    <w:rsid w:val="5FEF326F"/>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0F0176"/>
    <w:rsid w:val="61110088"/>
    <w:rsid w:val="61421EFD"/>
    <w:rsid w:val="61564B4F"/>
    <w:rsid w:val="615C5041"/>
    <w:rsid w:val="61613111"/>
    <w:rsid w:val="61635733"/>
    <w:rsid w:val="616E1341"/>
    <w:rsid w:val="61705965"/>
    <w:rsid w:val="6182260C"/>
    <w:rsid w:val="6190049D"/>
    <w:rsid w:val="61BC24E1"/>
    <w:rsid w:val="61D43A2B"/>
    <w:rsid w:val="61FF316E"/>
    <w:rsid w:val="620D1D12"/>
    <w:rsid w:val="620F4BAD"/>
    <w:rsid w:val="621542CB"/>
    <w:rsid w:val="62383C38"/>
    <w:rsid w:val="624263A2"/>
    <w:rsid w:val="625272C3"/>
    <w:rsid w:val="626A48D3"/>
    <w:rsid w:val="62715337"/>
    <w:rsid w:val="6280204D"/>
    <w:rsid w:val="6290769B"/>
    <w:rsid w:val="629261A1"/>
    <w:rsid w:val="62943D08"/>
    <w:rsid w:val="62A411F8"/>
    <w:rsid w:val="62BA7A46"/>
    <w:rsid w:val="62C376AC"/>
    <w:rsid w:val="62CE13CB"/>
    <w:rsid w:val="62D2197B"/>
    <w:rsid w:val="62E2159D"/>
    <w:rsid w:val="62E5554B"/>
    <w:rsid w:val="62F6011A"/>
    <w:rsid w:val="62FC691D"/>
    <w:rsid w:val="63105496"/>
    <w:rsid w:val="632170C2"/>
    <w:rsid w:val="6327422B"/>
    <w:rsid w:val="633876A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061E50"/>
    <w:rsid w:val="64214E44"/>
    <w:rsid w:val="64264A79"/>
    <w:rsid w:val="642775A4"/>
    <w:rsid w:val="64304E58"/>
    <w:rsid w:val="64311867"/>
    <w:rsid w:val="64371EC0"/>
    <w:rsid w:val="64391ED3"/>
    <w:rsid w:val="6445632E"/>
    <w:rsid w:val="6465249B"/>
    <w:rsid w:val="6472185A"/>
    <w:rsid w:val="64766F57"/>
    <w:rsid w:val="64856993"/>
    <w:rsid w:val="648939AA"/>
    <w:rsid w:val="649B1AC2"/>
    <w:rsid w:val="64A7467B"/>
    <w:rsid w:val="64C86505"/>
    <w:rsid w:val="64CD3548"/>
    <w:rsid w:val="64FE700F"/>
    <w:rsid w:val="6500327F"/>
    <w:rsid w:val="6506609B"/>
    <w:rsid w:val="65083216"/>
    <w:rsid w:val="650E3D55"/>
    <w:rsid w:val="65312B91"/>
    <w:rsid w:val="65314414"/>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8497D"/>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AC70F9"/>
    <w:rsid w:val="67B163D1"/>
    <w:rsid w:val="67E1247B"/>
    <w:rsid w:val="67F45538"/>
    <w:rsid w:val="680239EB"/>
    <w:rsid w:val="680722DA"/>
    <w:rsid w:val="682211D1"/>
    <w:rsid w:val="684640AB"/>
    <w:rsid w:val="685707E0"/>
    <w:rsid w:val="685C6395"/>
    <w:rsid w:val="686318DD"/>
    <w:rsid w:val="68635145"/>
    <w:rsid w:val="687F607E"/>
    <w:rsid w:val="688A6075"/>
    <w:rsid w:val="68A34C5C"/>
    <w:rsid w:val="68B26AE1"/>
    <w:rsid w:val="68E24981"/>
    <w:rsid w:val="68FC2CF2"/>
    <w:rsid w:val="69027347"/>
    <w:rsid w:val="69123F86"/>
    <w:rsid w:val="691C3525"/>
    <w:rsid w:val="69216128"/>
    <w:rsid w:val="69280874"/>
    <w:rsid w:val="69482CC7"/>
    <w:rsid w:val="694C5FA5"/>
    <w:rsid w:val="695D6B21"/>
    <w:rsid w:val="69611EE7"/>
    <w:rsid w:val="696C708E"/>
    <w:rsid w:val="696F4D5D"/>
    <w:rsid w:val="69850854"/>
    <w:rsid w:val="69850877"/>
    <w:rsid w:val="698C13C5"/>
    <w:rsid w:val="69AE1F57"/>
    <w:rsid w:val="69DC6A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60060"/>
    <w:rsid w:val="6B2B0EFD"/>
    <w:rsid w:val="6B2C13E4"/>
    <w:rsid w:val="6B4B0A4C"/>
    <w:rsid w:val="6B50310B"/>
    <w:rsid w:val="6B5045E2"/>
    <w:rsid w:val="6B636217"/>
    <w:rsid w:val="6B6B0F4F"/>
    <w:rsid w:val="6B736A2E"/>
    <w:rsid w:val="6B8170D6"/>
    <w:rsid w:val="6B884219"/>
    <w:rsid w:val="6B8E4A6B"/>
    <w:rsid w:val="6B8E7E96"/>
    <w:rsid w:val="6B906020"/>
    <w:rsid w:val="6B90781F"/>
    <w:rsid w:val="6B974370"/>
    <w:rsid w:val="6B9B18D1"/>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126110"/>
    <w:rsid w:val="6D221E52"/>
    <w:rsid w:val="6D227835"/>
    <w:rsid w:val="6D3C6626"/>
    <w:rsid w:val="6D5D0DB5"/>
    <w:rsid w:val="6D6855B1"/>
    <w:rsid w:val="6D7B12C8"/>
    <w:rsid w:val="6D7B4AB7"/>
    <w:rsid w:val="6D7C5FAF"/>
    <w:rsid w:val="6D89784B"/>
    <w:rsid w:val="6D8E70A1"/>
    <w:rsid w:val="6D9A4E14"/>
    <w:rsid w:val="6D9E0566"/>
    <w:rsid w:val="6DBA50DF"/>
    <w:rsid w:val="6DBB0D0A"/>
    <w:rsid w:val="6DE525D1"/>
    <w:rsid w:val="6DF43BD4"/>
    <w:rsid w:val="6E0E1FAB"/>
    <w:rsid w:val="6E2143FB"/>
    <w:rsid w:val="6E317378"/>
    <w:rsid w:val="6E3C00E0"/>
    <w:rsid w:val="6E4215C6"/>
    <w:rsid w:val="6E4B0158"/>
    <w:rsid w:val="6E4D611F"/>
    <w:rsid w:val="6E5413AD"/>
    <w:rsid w:val="6E557E91"/>
    <w:rsid w:val="6E567C9E"/>
    <w:rsid w:val="6E635028"/>
    <w:rsid w:val="6E636A71"/>
    <w:rsid w:val="6E685B0A"/>
    <w:rsid w:val="6E695F11"/>
    <w:rsid w:val="6E73404A"/>
    <w:rsid w:val="6E7355AA"/>
    <w:rsid w:val="6E920B5B"/>
    <w:rsid w:val="6E990B16"/>
    <w:rsid w:val="6EB169D3"/>
    <w:rsid w:val="6EB73361"/>
    <w:rsid w:val="6EB829B1"/>
    <w:rsid w:val="6EB978A9"/>
    <w:rsid w:val="6EBE1569"/>
    <w:rsid w:val="6ECC3A24"/>
    <w:rsid w:val="6ED02117"/>
    <w:rsid w:val="6ED3075F"/>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A44D6"/>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D91320"/>
    <w:rsid w:val="70FC2D1E"/>
    <w:rsid w:val="71015D6B"/>
    <w:rsid w:val="710C632F"/>
    <w:rsid w:val="71151975"/>
    <w:rsid w:val="713074DB"/>
    <w:rsid w:val="71336A65"/>
    <w:rsid w:val="713B0E5B"/>
    <w:rsid w:val="71486F62"/>
    <w:rsid w:val="71511268"/>
    <w:rsid w:val="71545B37"/>
    <w:rsid w:val="71573E01"/>
    <w:rsid w:val="71702748"/>
    <w:rsid w:val="717F0007"/>
    <w:rsid w:val="71804EC5"/>
    <w:rsid w:val="71867894"/>
    <w:rsid w:val="719F7A78"/>
    <w:rsid w:val="71BB586F"/>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03C4C"/>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7F51CD"/>
    <w:rsid w:val="74843B4A"/>
    <w:rsid w:val="748A603A"/>
    <w:rsid w:val="748D52FA"/>
    <w:rsid w:val="748F1701"/>
    <w:rsid w:val="74993216"/>
    <w:rsid w:val="74B44784"/>
    <w:rsid w:val="74B808BF"/>
    <w:rsid w:val="74E06625"/>
    <w:rsid w:val="75084E8F"/>
    <w:rsid w:val="75202656"/>
    <w:rsid w:val="753D27D1"/>
    <w:rsid w:val="7564253A"/>
    <w:rsid w:val="75746394"/>
    <w:rsid w:val="75752B04"/>
    <w:rsid w:val="75783839"/>
    <w:rsid w:val="758910BB"/>
    <w:rsid w:val="759407F3"/>
    <w:rsid w:val="759558DF"/>
    <w:rsid w:val="75955DA9"/>
    <w:rsid w:val="75977910"/>
    <w:rsid w:val="759F2A35"/>
    <w:rsid w:val="75B15C41"/>
    <w:rsid w:val="75CD3EFF"/>
    <w:rsid w:val="75D12923"/>
    <w:rsid w:val="75D93536"/>
    <w:rsid w:val="75EA364B"/>
    <w:rsid w:val="75EA65B3"/>
    <w:rsid w:val="75F20996"/>
    <w:rsid w:val="75F96973"/>
    <w:rsid w:val="76123E1D"/>
    <w:rsid w:val="76191040"/>
    <w:rsid w:val="762A17C0"/>
    <w:rsid w:val="76425118"/>
    <w:rsid w:val="764838B9"/>
    <w:rsid w:val="764B15DA"/>
    <w:rsid w:val="764C09B4"/>
    <w:rsid w:val="764F5A52"/>
    <w:rsid w:val="764F6981"/>
    <w:rsid w:val="766A4A0D"/>
    <w:rsid w:val="766A7ED1"/>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6E5035"/>
    <w:rsid w:val="79775064"/>
    <w:rsid w:val="798058E5"/>
    <w:rsid w:val="79941CF2"/>
    <w:rsid w:val="79973382"/>
    <w:rsid w:val="79BE0C60"/>
    <w:rsid w:val="79D33056"/>
    <w:rsid w:val="79D82BB5"/>
    <w:rsid w:val="79EC0256"/>
    <w:rsid w:val="79F60153"/>
    <w:rsid w:val="79FB6E2C"/>
    <w:rsid w:val="7A000A00"/>
    <w:rsid w:val="7A0B54C9"/>
    <w:rsid w:val="7A0C4750"/>
    <w:rsid w:val="7A350A2E"/>
    <w:rsid w:val="7A4C2D60"/>
    <w:rsid w:val="7A644B7F"/>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7D48E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05469"/>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1F7264"/>
    <w:rsid w:val="7D2E198F"/>
    <w:rsid w:val="7D3B3737"/>
    <w:rsid w:val="7D3D73AF"/>
    <w:rsid w:val="7D5B27C9"/>
    <w:rsid w:val="7D62117D"/>
    <w:rsid w:val="7D794101"/>
    <w:rsid w:val="7D834A16"/>
    <w:rsid w:val="7D9D438F"/>
    <w:rsid w:val="7DA03B34"/>
    <w:rsid w:val="7DA514D2"/>
    <w:rsid w:val="7DB50C51"/>
    <w:rsid w:val="7DBE1B45"/>
    <w:rsid w:val="7DBF32E6"/>
    <w:rsid w:val="7DC03698"/>
    <w:rsid w:val="7DC708BD"/>
    <w:rsid w:val="7DCD4EB5"/>
    <w:rsid w:val="7E090313"/>
    <w:rsid w:val="7E3E0FEC"/>
    <w:rsid w:val="7E3E1EF2"/>
    <w:rsid w:val="7E5C1ABA"/>
    <w:rsid w:val="7E62165E"/>
    <w:rsid w:val="7E622778"/>
    <w:rsid w:val="7E756346"/>
    <w:rsid w:val="7E7B70FE"/>
    <w:rsid w:val="7E85174A"/>
    <w:rsid w:val="7EA34C53"/>
    <w:rsid w:val="7EAA7C26"/>
    <w:rsid w:val="7EAF1FAA"/>
    <w:rsid w:val="7EB4653A"/>
    <w:rsid w:val="7ECA4601"/>
    <w:rsid w:val="7ED8523D"/>
    <w:rsid w:val="7EDC22AD"/>
    <w:rsid w:val="7EE34086"/>
    <w:rsid w:val="7EE55F89"/>
    <w:rsid w:val="7EEB5719"/>
    <w:rsid w:val="7EF215E8"/>
    <w:rsid w:val="7EF525E1"/>
    <w:rsid w:val="7EF74FC9"/>
    <w:rsid w:val="7EFE5FBD"/>
    <w:rsid w:val="7F015FBE"/>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1"/>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35</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